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Verdana,ˎ̥" w:eastAsia="黑体"/>
          <w:spacing w:val="-4"/>
          <w:sz w:val="32"/>
          <w:szCs w:val="32"/>
          <w:lang w:val="en-US" w:eastAsia="zh-CN"/>
        </w:rPr>
      </w:pPr>
      <w:r>
        <w:rPr>
          <w:rFonts w:hint="eastAsia" w:ascii="黑体" w:hAnsi="Verdana,ˎ̥" w:eastAsia="黑体"/>
          <w:spacing w:val="-4"/>
          <w:sz w:val="32"/>
          <w:szCs w:val="32"/>
        </w:rPr>
        <w:t>附件</w:t>
      </w:r>
      <w:r>
        <w:rPr>
          <w:rFonts w:hint="eastAsia" w:ascii="黑体" w:hAnsi="Verdana,ˎ̥" w:eastAsia="黑体"/>
          <w:spacing w:val="-4"/>
          <w:sz w:val="32"/>
          <w:szCs w:val="32"/>
          <w:lang w:val="en-US" w:eastAsia="zh-CN"/>
        </w:rPr>
        <w:t>2:</w:t>
      </w:r>
    </w:p>
    <w:p>
      <w:pPr>
        <w:spacing w:line="560" w:lineRule="exact"/>
        <w:jc w:val="center"/>
        <w:rPr>
          <w:rFonts w:hint="eastAsia" w:ascii="方正小标宋简体" w:hAnsi="Verdana,ˎ̥" w:eastAsia="方正小标宋简体"/>
          <w:spacing w:val="-4"/>
          <w:sz w:val="44"/>
          <w:szCs w:val="44"/>
        </w:rPr>
      </w:pPr>
      <w:r>
        <w:rPr>
          <w:rFonts w:hint="eastAsia" w:ascii="方正小标宋简体" w:hAnsi="Verdana,ˎ̥" w:eastAsia="方正小标宋简体"/>
          <w:spacing w:val="-4"/>
          <w:sz w:val="44"/>
          <w:szCs w:val="44"/>
        </w:rPr>
        <w:t xml:space="preserve"> </w:t>
      </w:r>
      <w:r>
        <w:rPr>
          <w:rFonts w:hint="eastAsia" w:ascii="方正小标宋简体" w:hAnsi="Verdana,ˎ̥" w:eastAsia="方正小标宋简体"/>
          <w:spacing w:val="-4"/>
          <w:sz w:val="44"/>
          <w:szCs w:val="44"/>
          <w:lang w:eastAsia="zh-CN"/>
        </w:rPr>
        <w:t>参与竞选银行经营状况及竞选指标一览</w:t>
      </w:r>
      <w:r>
        <w:rPr>
          <w:rFonts w:hint="eastAsia" w:ascii="方正小标宋简体" w:hAnsi="Verdana,ˎ̥" w:eastAsia="方正小标宋简体"/>
          <w:spacing w:val="-4"/>
          <w:sz w:val="44"/>
          <w:szCs w:val="44"/>
        </w:rPr>
        <w:t>表</w:t>
      </w:r>
    </w:p>
    <w:p>
      <w:pPr>
        <w:spacing w:line="5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银行</w:t>
      </w:r>
      <w:r>
        <w:rPr>
          <w:rFonts w:hint="eastAsia" w:ascii="宋体" w:hAnsi="宋体" w:cs="宋体"/>
          <w:color w:val="000000"/>
          <w:kern w:val="0"/>
          <w:sz w:val="20"/>
          <w:szCs w:val="20"/>
          <w:lang w:eastAsia="zh-CN"/>
        </w:rPr>
        <w:t>名称（公章）</w:t>
      </w:r>
      <w:r>
        <w:rPr>
          <w:rFonts w:hint="eastAsia" w:ascii="宋体" w:hAnsi="宋体" w:cs="宋体"/>
          <w:color w:val="000000"/>
          <w:kern w:val="0"/>
          <w:sz w:val="20"/>
          <w:szCs w:val="20"/>
        </w:rPr>
        <w:t>：</w:t>
      </w: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 xml:space="preserve">  </w:t>
      </w:r>
      <w:r>
        <w:rPr>
          <w:rFonts w:hint="eastAsia" w:ascii="宋体" w:hAnsi="宋体" w:cs="宋体"/>
          <w:color w:val="000000"/>
          <w:kern w:val="0"/>
          <w:sz w:val="20"/>
        </w:rPr>
        <w:t xml:space="preserve">    填表时间：    年    月    日</w:t>
      </w:r>
    </w:p>
    <w:tbl>
      <w:tblPr>
        <w:tblStyle w:val="3"/>
        <w:tblW w:w="0" w:type="auto"/>
        <w:tblInd w:w="93" w:type="dxa"/>
        <w:tblLayout w:type="fixed"/>
        <w:tblCellMar>
          <w:top w:w="0" w:type="dxa"/>
          <w:left w:w="108" w:type="dxa"/>
          <w:bottom w:w="0" w:type="dxa"/>
          <w:right w:w="108" w:type="dxa"/>
        </w:tblCellMar>
      </w:tblPr>
      <w:tblGrid>
        <w:gridCol w:w="1080"/>
        <w:gridCol w:w="1448"/>
        <w:gridCol w:w="3375"/>
        <w:gridCol w:w="3045"/>
        <w:gridCol w:w="472"/>
      </w:tblGrid>
      <w:tr>
        <w:tblPrEx>
          <w:tblCellMar>
            <w:top w:w="0" w:type="dxa"/>
            <w:left w:w="108" w:type="dxa"/>
            <w:bottom w:w="0" w:type="dxa"/>
            <w:right w:w="108" w:type="dxa"/>
          </w:tblCellMar>
        </w:tblPrEx>
        <w:trPr>
          <w:gridAfter w:val="1"/>
          <w:wAfter w:w="0" w:type="dxa"/>
          <w:trHeight w:val="422" w:hRule="atLeast"/>
        </w:trPr>
        <w:tc>
          <w:tcPr>
            <w:tcW w:w="25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w:t>
            </w:r>
            <w:r>
              <w:rPr>
                <w:rFonts w:hint="eastAsia" w:ascii="仿宋_GB2312" w:hAnsi="宋体" w:eastAsia="仿宋_GB2312" w:cs="宋体"/>
                <w:b/>
                <w:bCs/>
                <w:color w:val="000000"/>
                <w:kern w:val="0"/>
                <w:szCs w:val="21"/>
                <w:lang w:eastAsia="zh-CN"/>
              </w:rPr>
              <w:t>审</w:t>
            </w:r>
            <w:r>
              <w:rPr>
                <w:rFonts w:hint="eastAsia" w:ascii="仿宋_GB2312" w:hAnsi="宋体" w:eastAsia="仿宋_GB2312" w:cs="宋体"/>
                <w:b/>
                <w:bCs/>
                <w:color w:val="000000"/>
                <w:kern w:val="0"/>
                <w:szCs w:val="21"/>
              </w:rPr>
              <w:t>内容</w:t>
            </w:r>
          </w:p>
        </w:tc>
        <w:tc>
          <w:tcPr>
            <w:tcW w:w="33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color w:val="000000"/>
                <w:kern w:val="0"/>
                <w:szCs w:val="21"/>
                <w:lang w:eastAsia="zh-CN"/>
              </w:rPr>
            </w:pPr>
            <w:r>
              <w:rPr>
                <w:rFonts w:hint="eastAsia" w:ascii="仿宋_GB2312" w:hAnsi="宋体" w:eastAsia="仿宋_GB2312" w:cs="宋体"/>
                <w:b/>
                <w:bCs/>
                <w:color w:val="000000"/>
                <w:kern w:val="0"/>
                <w:szCs w:val="21"/>
                <w:lang w:eastAsia="zh-CN"/>
              </w:rPr>
              <w:t>数据</w:t>
            </w:r>
          </w:p>
        </w:tc>
        <w:tc>
          <w:tcPr>
            <w:tcW w:w="304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color w:val="000000"/>
                <w:kern w:val="0"/>
                <w:szCs w:val="21"/>
                <w:lang w:eastAsia="zh-CN"/>
              </w:rPr>
            </w:pPr>
            <w:r>
              <w:rPr>
                <w:rFonts w:hint="eastAsia" w:ascii="仿宋_GB2312" w:hAnsi="宋体" w:eastAsia="仿宋_GB2312" w:cs="宋体"/>
                <w:b/>
                <w:bCs/>
                <w:color w:val="000000"/>
                <w:kern w:val="0"/>
                <w:szCs w:val="21"/>
                <w:lang w:eastAsia="zh-CN"/>
              </w:rPr>
              <w:t>说明</w:t>
            </w:r>
          </w:p>
        </w:tc>
      </w:tr>
      <w:tr>
        <w:tblPrEx>
          <w:tblCellMar>
            <w:top w:w="0" w:type="dxa"/>
            <w:left w:w="108" w:type="dxa"/>
            <w:bottom w:w="0" w:type="dxa"/>
            <w:right w:w="108" w:type="dxa"/>
          </w:tblCellMar>
        </w:tblPrEx>
        <w:trPr>
          <w:gridAfter w:val="1"/>
          <w:wAfter w:w="0" w:type="dxa"/>
          <w:trHeight w:val="557"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14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33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b/>
                <w:bCs/>
                <w:color w:val="000000"/>
                <w:kern w:val="0"/>
                <w:szCs w:val="21"/>
              </w:rPr>
            </w:pPr>
          </w:p>
        </w:tc>
        <w:tc>
          <w:tcPr>
            <w:tcW w:w="30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b/>
                <w:bCs/>
                <w:color w:val="000000"/>
                <w:kern w:val="0"/>
                <w:szCs w:val="21"/>
              </w:rPr>
            </w:pPr>
          </w:p>
        </w:tc>
      </w:tr>
      <w:tr>
        <w:tblPrEx>
          <w:tblCellMar>
            <w:top w:w="0" w:type="dxa"/>
            <w:left w:w="108" w:type="dxa"/>
            <w:bottom w:w="0" w:type="dxa"/>
            <w:right w:w="108" w:type="dxa"/>
          </w:tblCellMar>
        </w:tblPrEx>
        <w:trPr>
          <w:gridAfter w:val="1"/>
          <w:wAfter w:w="0" w:type="dxa"/>
          <w:trHeight w:val="720" w:hRule="atLeast"/>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一、经营状况</w:t>
            </w:r>
            <w:r>
              <w:rPr>
                <w:rFonts w:hint="eastAsia" w:ascii="宋体" w:hAnsi="宋体" w:cs="宋体"/>
                <w:color w:val="000000"/>
                <w:kern w:val="0"/>
                <w:sz w:val="20"/>
                <w:lang w:eastAsia="zh-CN"/>
              </w:rPr>
              <w:t>指标</w:t>
            </w: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资本充足率</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参选银行总行上一年度年末数据</w:t>
            </w:r>
          </w:p>
        </w:tc>
      </w:tr>
      <w:tr>
        <w:tblPrEx>
          <w:tblCellMar>
            <w:top w:w="0" w:type="dxa"/>
            <w:left w:w="108" w:type="dxa"/>
            <w:bottom w:w="0" w:type="dxa"/>
            <w:right w:w="108" w:type="dxa"/>
          </w:tblCellMar>
        </w:tblPrEx>
        <w:trPr>
          <w:gridAfter w:val="1"/>
          <w:wAfter w:w="0" w:type="dxa"/>
          <w:trHeight w:val="85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不良贷款率</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参选银行总行上一年度年末数据</w:t>
            </w:r>
          </w:p>
        </w:tc>
      </w:tr>
      <w:tr>
        <w:tblPrEx>
          <w:tblCellMar>
            <w:top w:w="0" w:type="dxa"/>
            <w:left w:w="108" w:type="dxa"/>
            <w:bottom w:w="0" w:type="dxa"/>
            <w:right w:w="108" w:type="dxa"/>
          </w:tblCellMar>
        </w:tblPrEx>
        <w:trPr>
          <w:gridAfter w:val="1"/>
          <w:wAfter w:w="0" w:type="dxa"/>
          <w:trHeight w:val="81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拨备覆盖率</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参选银行总行上一年度年末数据</w:t>
            </w:r>
          </w:p>
        </w:tc>
      </w:tr>
      <w:tr>
        <w:tblPrEx>
          <w:tblCellMar>
            <w:top w:w="0" w:type="dxa"/>
            <w:left w:w="108" w:type="dxa"/>
            <w:bottom w:w="0" w:type="dxa"/>
            <w:right w:w="108" w:type="dxa"/>
          </w:tblCellMar>
        </w:tblPrEx>
        <w:trPr>
          <w:gridAfter w:val="1"/>
          <w:wAfter w:w="0" w:type="dxa"/>
          <w:trHeight w:val="96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流动性覆盖率</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参选银行总行上一年度年末数据</w:t>
            </w:r>
          </w:p>
        </w:tc>
      </w:tr>
      <w:tr>
        <w:tblPrEx>
          <w:tblCellMar>
            <w:top w:w="0" w:type="dxa"/>
            <w:left w:w="108" w:type="dxa"/>
            <w:bottom w:w="0" w:type="dxa"/>
            <w:right w:w="108" w:type="dxa"/>
          </w:tblCellMar>
        </w:tblPrEx>
        <w:trPr>
          <w:gridAfter w:val="1"/>
          <w:wAfter w:w="0" w:type="dxa"/>
          <w:trHeight w:val="85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流动性比例</w:t>
            </w:r>
          </w:p>
        </w:tc>
        <w:tc>
          <w:tcPr>
            <w:tcW w:w="3375"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参选银行总行上一年度年末数据</w:t>
            </w:r>
          </w:p>
        </w:tc>
      </w:tr>
      <w:tr>
        <w:tblPrEx>
          <w:tblCellMar>
            <w:top w:w="0" w:type="dxa"/>
            <w:left w:w="108" w:type="dxa"/>
            <w:bottom w:w="0" w:type="dxa"/>
            <w:right w:w="108" w:type="dxa"/>
          </w:tblCellMar>
        </w:tblPrEx>
        <w:trPr>
          <w:gridAfter w:val="1"/>
          <w:wAfter w:w="0" w:type="dxa"/>
          <w:trHeight w:val="84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FF0000"/>
                <w:kern w:val="0"/>
                <w:sz w:val="20"/>
              </w:rPr>
            </w:pPr>
            <w:r>
              <w:rPr>
                <w:rFonts w:hint="eastAsia" w:ascii="宋体" w:hAnsi="宋体" w:cs="宋体"/>
                <w:color w:val="000000"/>
                <w:kern w:val="0"/>
                <w:sz w:val="20"/>
              </w:rPr>
              <w:t>内部控制</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0" w:type="dxa"/>
          <w:trHeight w:val="1650" w:hRule="atLeast"/>
        </w:trPr>
        <w:tc>
          <w:tcPr>
            <w:tcW w:w="10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二、服务水平</w:t>
            </w:r>
            <w:r>
              <w:rPr>
                <w:rFonts w:hint="eastAsia" w:ascii="宋体" w:hAnsi="宋体" w:cs="宋体"/>
                <w:color w:val="000000"/>
                <w:kern w:val="0"/>
                <w:sz w:val="20"/>
                <w:lang w:eastAsia="zh-CN"/>
              </w:rPr>
              <w:t>指标</w:t>
            </w:r>
          </w:p>
        </w:tc>
        <w:tc>
          <w:tcPr>
            <w:tcW w:w="1448"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信息系统建设</w:t>
            </w:r>
          </w:p>
        </w:tc>
        <w:tc>
          <w:tcPr>
            <w:tcW w:w="3375"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single" w:color="auto" w:sz="4" w:space="0"/>
              <w:left w:val="nil"/>
              <w:bottom w:val="single" w:color="auto" w:sz="4" w:space="0"/>
              <w:right w:val="single" w:color="auto" w:sz="4" w:space="0"/>
            </w:tcBorders>
            <w:noWrap w:val="0"/>
            <w:vAlign w:val="bottom"/>
          </w:tcPr>
          <w:p>
            <w:pPr>
              <w:widowControl/>
              <w:spacing w:line="340" w:lineRule="exact"/>
              <w:jc w:val="left"/>
              <w:rPr>
                <w:rFonts w:hint="eastAsia" w:ascii="宋体" w:hAnsi="宋体" w:eastAsia="宋体" w:cs="宋体"/>
                <w:color w:val="000000"/>
                <w:kern w:val="0"/>
                <w:sz w:val="22"/>
                <w:lang w:eastAsia="zh-CN"/>
              </w:rPr>
            </w:pPr>
            <w:r>
              <w:rPr>
                <w:rFonts w:hint="eastAsia" w:ascii="宋体" w:hAnsi="宋体" w:cs="宋体"/>
                <w:color w:val="000000"/>
                <w:kern w:val="0"/>
                <w:sz w:val="20"/>
              </w:rPr>
              <w:t>网络连接可靠，系统服务运行高效稳定，业务响应及时，对系统故障能及时处理，能及时发现及改进系统潜在隐患，确保账户及资金安全</w:t>
            </w:r>
            <w:r>
              <w:rPr>
                <w:rFonts w:hint="eastAsia" w:ascii="宋体" w:hAnsi="宋体" w:cs="宋体"/>
                <w:color w:val="000000"/>
                <w:kern w:val="0"/>
                <w:sz w:val="20"/>
                <w:lang w:eastAsia="zh-CN"/>
              </w:rPr>
              <w:t>。</w:t>
            </w:r>
          </w:p>
        </w:tc>
      </w:tr>
      <w:tr>
        <w:tblPrEx>
          <w:tblCellMar>
            <w:top w:w="0" w:type="dxa"/>
            <w:left w:w="108" w:type="dxa"/>
            <w:bottom w:w="0" w:type="dxa"/>
            <w:right w:w="108" w:type="dxa"/>
          </w:tblCellMar>
        </w:tblPrEx>
        <w:trPr>
          <w:gridAfter w:val="1"/>
          <w:wAfter w:w="0" w:type="dxa"/>
        </w:trPr>
        <w:tc>
          <w:tcPr>
            <w:tcW w:w="1080" w:type="dxa"/>
            <w:vMerge w:val="continue"/>
            <w:tcBorders>
              <w:left w:val="single" w:color="auto" w:sz="4" w:space="0"/>
              <w:bottom w:val="nil"/>
              <w:right w:val="single" w:color="auto" w:sz="4" w:space="0"/>
            </w:tcBorders>
            <w:noWrap w:val="0"/>
            <w:vAlign w:val="center"/>
          </w:tcPr>
          <w:p>
            <w:pPr>
              <w:widowControl/>
              <w:spacing w:line="240" w:lineRule="exact"/>
              <w:jc w:val="center"/>
              <w:rPr>
                <w:rFonts w:hint="eastAsia" w:ascii="宋体" w:hAnsi="宋体" w:cs="宋体"/>
                <w:color w:val="000000"/>
                <w:kern w:val="0"/>
                <w:sz w:val="20"/>
              </w:rPr>
            </w:pPr>
          </w:p>
        </w:tc>
        <w:tc>
          <w:tcPr>
            <w:tcW w:w="1448" w:type="dxa"/>
            <w:tcBorders>
              <w:top w:val="single" w:color="auto" w:sz="4" w:space="0"/>
              <w:left w:val="nil"/>
              <w:right w:val="single" w:color="auto" w:sz="4" w:space="0"/>
            </w:tcBorders>
            <w:noWrap w:val="0"/>
            <w:vAlign w:val="center"/>
          </w:tcPr>
          <w:p>
            <w:pPr>
              <w:spacing w:line="340" w:lineRule="exact"/>
              <w:jc w:val="left"/>
              <w:rPr>
                <w:rFonts w:hint="eastAsia" w:ascii="宋体" w:hAnsi="宋体" w:cs="宋体"/>
                <w:color w:val="000000"/>
                <w:kern w:val="0"/>
                <w:sz w:val="20"/>
              </w:rPr>
            </w:pPr>
          </w:p>
        </w:tc>
        <w:tc>
          <w:tcPr>
            <w:tcW w:w="3375" w:type="dxa"/>
            <w:tcBorders>
              <w:top w:val="single" w:color="auto" w:sz="4" w:space="0"/>
              <w:left w:val="nil"/>
              <w:right w:val="single" w:color="auto" w:sz="4" w:space="0"/>
            </w:tcBorders>
            <w:noWrap w:val="0"/>
            <w:vAlign w:val="center"/>
          </w:tcPr>
          <w:p>
            <w:pPr>
              <w:spacing w:line="340" w:lineRule="exact"/>
              <w:jc w:val="left"/>
              <w:rPr>
                <w:rFonts w:hint="eastAsia" w:ascii="宋体" w:hAnsi="宋体" w:cs="宋体"/>
                <w:color w:val="000000"/>
                <w:kern w:val="0"/>
                <w:sz w:val="20"/>
              </w:rPr>
            </w:pPr>
          </w:p>
        </w:tc>
        <w:tc>
          <w:tcPr>
            <w:tcW w:w="3045" w:type="dxa"/>
            <w:tcBorders>
              <w:top w:val="single" w:color="auto" w:sz="4" w:space="0"/>
              <w:left w:val="nil"/>
              <w:right w:val="single" w:color="auto" w:sz="4" w:space="0"/>
            </w:tcBorders>
            <w:noWrap w:val="0"/>
            <w:vAlign w:val="bottom"/>
          </w:tcPr>
          <w:p>
            <w:pPr>
              <w:spacing w:line="340" w:lineRule="exact"/>
              <w:jc w:val="left"/>
              <w:rPr>
                <w:rFonts w:hint="eastAsia" w:ascii="宋体" w:hAnsi="宋体" w:cs="宋体"/>
                <w:color w:val="000000"/>
                <w:kern w:val="0"/>
                <w:sz w:val="22"/>
              </w:rPr>
            </w:pPr>
          </w:p>
        </w:tc>
      </w:tr>
      <w:tr>
        <w:tblPrEx>
          <w:tblCellMar>
            <w:top w:w="0" w:type="dxa"/>
            <w:left w:w="108" w:type="dxa"/>
            <w:bottom w:w="0" w:type="dxa"/>
            <w:right w:w="108" w:type="dxa"/>
          </w:tblCellMar>
        </w:tblPrEx>
        <w:trPr>
          <w:gridAfter w:val="1"/>
          <w:wAfter w:w="0" w:type="dxa"/>
          <w:trHeight w:val="1725" w:hRule="atLeast"/>
        </w:trPr>
        <w:tc>
          <w:tcPr>
            <w:tcW w:w="1080" w:type="dxa"/>
            <w:vMerge w:val="restart"/>
            <w:tcBorders>
              <w:top w:val="nil"/>
              <w:left w:val="single" w:color="auto" w:sz="4" w:space="0"/>
              <w:bottom w:val="single" w:color="000000" w:sz="4" w:space="0"/>
              <w:right w:val="single" w:color="auto" w:sz="4" w:space="0"/>
            </w:tcBorders>
            <w:noWrap w:val="0"/>
            <w:vAlign w:val="center"/>
          </w:tcPr>
          <w:p>
            <w:pPr>
              <w:spacing w:line="240" w:lineRule="exact"/>
              <w:jc w:val="center"/>
              <w:rPr>
                <w:rFonts w:ascii="宋体" w:hAnsi="宋体" w:cs="宋体"/>
                <w:color w:val="000000"/>
                <w:kern w:val="0"/>
                <w:sz w:val="20"/>
              </w:rPr>
            </w:pPr>
          </w:p>
        </w:tc>
        <w:tc>
          <w:tcPr>
            <w:tcW w:w="1448" w:type="dxa"/>
            <w:tcBorders>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资金支付及对账服务</w:t>
            </w:r>
          </w:p>
        </w:tc>
        <w:tc>
          <w:tcPr>
            <w:tcW w:w="3375" w:type="dxa"/>
            <w:tcBorders>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left w:val="nil"/>
              <w:bottom w:val="single" w:color="auto" w:sz="4" w:space="0"/>
              <w:right w:val="single" w:color="auto" w:sz="4" w:space="0"/>
            </w:tcBorders>
            <w:noWrap w:val="0"/>
            <w:vAlign w:val="bottom"/>
          </w:tcPr>
          <w:p>
            <w:pPr>
              <w:widowControl/>
              <w:spacing w:line="340" w:lineRule="exact"/>
              <w:jc w:val="left"/>
              <w:rPr>
                <w:rFonts w:hint="eastAsia" w:ascii="宋体" w:hAnsi="宋体" w:eastAsia="宋体" w:cs="宋体"/>
                <w:color w:val="000000"/>
                <w:kern w:val="0"/>
                <w:sz w:val="22"/>
                <w:lang w:eastAsia="zh-CN"/>
              </w:rPr>
            </w:pPr>
            <w:r>
              <w:rPr>
                <w:rFonts w:hint="eastAsia" w:ascii="宋体" w:hAnsi="宋体" w:cs="宋体"/>
                <w:color w:val="000000"/>
                <w:kern w:val="0"/>
                <w:sz w:val="20"/>
              </w:rPr>
              <w:t>能按规定及时、准确的办理资金支付业务，业务流程简洁、规范，能按照加急业务办理程序办理特别紧急支出事项，能够在规定时间与单位进行对账，并提供格式规范的对账单的</w:t>
            </w:r>
            <w:r>
              <w:rPr>
                <w:rFonts w:hint="eastAsia" w:ascii="宋体" w:hAnsi="宋体" w:cs="宋体"/>
                <w:color w:val="000000"/>
                <w:kern w:val="0"/>
                <w:sz w:val="20"/>
                <w:lang w:eastAsia="zh-CN"/>
              </w:rPr>
              <w:t>。</w:t>
            </w:r>
          </w:p>
        </w:tc>
      </w:tr>
      <w:tr>
        <w:tblPrEx>
          <w:tblCellMar>
            <w:top w:w="0" w:type="dxa"/>
            <w:left w:w="108" w:type="dxa"/>
            <w:bottom w:w="0" w:type="dxa"/>
            <w:right w:w="108" w:type="dxa"/>
          </w:tblCellMar>
        </w:tblPrEx>
        <w:trPr>
          <w:gridAfter w:val="1"/>
          <w:wAfter w:w="0" w:type="dxa"/>
          <w:trHeight w:val="9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分账核算服务</w:t>
            </w:r>
          </w:p>
        </w:tc>
        <w:tc>
          <w:tcPr>
            <w:tcW w:w="3375"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hint="eastAsia" w:ascii="宋体" w:hAnsi="宋体" w:eastAsia="宋体" w:cs="宋体"/>
                <w:color w:val="000000"/>
                <w:kern w:val="0"/>
                <w:sz w:val="20"/>
                <w:lang w:eastAsia="zh-CN"/>
              </w:rPr>
            </w:pPr>
          </w:p>
        </w:tc>
        <w:tc>
          <w:tcPr>
            <w:tcW w:w="3045" w:type="dxa"/>
            <w:tcBorders>
              <w:top w:val="single" w:color="auto" w:sz="4" w:space="0"/>
              <w:left w:val="nil"/>
              <w:bottom w:val="single" w:color="auto" w:sz="4" w:space="0"/>
              <w:right w:val="single" w:color="auto" w:sz="4" w:space="0"/>
            </w:tcBorders>
            <w:noWrap w:val="0"/>
            <w:vAlign w:val="bottom"/>
          </w:tcPr>
          <w:p>
            <w:pPr>
              <w:widowControl/>
              <w:spacing w:line="340" w:lineRule="exact"/>
              <w:jc w:val="left"/>
              <w:rPr>
                <w:rFonts w:ascii="宋体" w:hAnsi="宋体" w:cs="宋体"/>
                <w:color w:val="000000"/>
                <w:kern w:val="0"/>
                <w:sz w:val="22"/>
              </w:rPr>
            </w:pPr>
            <w:r>
              <w:rPr>
                <w:rFonts w:hint="eastAsia" w:ascii="宋体" w:hAnsi="宋体" w:cs="宋体"/>
                <w:color w:val="000000"/>
                <w:kern w:val="0"/>
                <w:sz w:val="20"/>
              </w:rPr>
              <w:t>能提供分账核算服务，子账户管理规范，操作便捷</w:t>
            </w:r>
            <w:r>
              <w:rPr>
                <w:rFonts w:hint="eastAsia" w:ascii="宋体" w:hAnsi="宋体" w:cs="宋体"/>
                <w:color w:val="000000"/>
                <w:kern w:val="0"/>
                <w:sz w:val="20"/>
                <w:lang w:eastAsia="zh-CN"/>
              </w:rPr>
              <w:t>等。</w:t>
            </w:r>
          </w:p>
        </w:tc>
      </w:tr>
      <w:tr>
        <w:tblPrEx>
          <w:tblCellMar>
            <w:top w:w="0" w:type="dxa"/>
            <w:left w:w="108" w:type="dxa"/>
            <w:bottom w:w="0" w:type="dxa"/>
            <w:right w:w="108" w:type="dxa"/>
          </w:tblCellMar>
        </w:tblPrEx>
        <w:trPr>
          <w:gridAfter w:val="1"/>
          <w:wAfter w:w="0" w:type="dxa"/>
          <w:trHeight w:val="123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以往提供服务履约情况</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nil"/>
              <w:left w:val="nil"/>
              <w:bottom w:val="single" w:color="auto" w:sz="4" w:space="0"/>
              <w:right w:val="single" w:color="auto" w:sz="4" w:space="0"/>
            </w:tcBorders>
            <w:noWrap w:val="0"/>
            <w:vAlign w:val="bottom"/>
          </w:tcPr>
          <w:p>
            <w:pPr>
              <w:widowControl/>
              <w:spacing w:line="340" w:lineRule="exact"/>
              <w:jc w:val="left"/>
              <w:rPr>
                <w:rFonts w:hint="eastAsia" w:ascii="宋体" w:hAnsi="宋体" w:eastAsia="宋体" w:cs="宋体"/>
                <w:color w:val="000000"/>
                <w:kern w:val="0"/>
                <w:sz w:val="22"/>
                <w:lang w:eastAsia="zh-CN"/>
              </w:rPr>
            </w:pPr>
            <w:r>
              <w:rPr>
                <w:rFonts w:hint="eastAsia" w:ascii="宋体" w:hAnsi="宋体" w:cs="宋体"/>
                <w:color w:val="000000"/>
                <w:kern w:val="0"/>
                <w:sz w:val="20"/>
              </w:rPr>
              <w:t>依法开展经营活动，近3年内在经营活动中无重大违法违规记录，信誉良好，及时计付存款人利息，资金支付无压单等情况</w:t>
            </w:r>
            <w:r>
              <w:rPr>
                <w:rFonts w:hint="eastAsia" w:ascii="宋体" w:hAnsi="宋体" w:cs="宋体"/>
                <w:color w:val="000000"/>
                <w:kern w:val="0"/>
                <w:sz w:val="20"/>
                <w:lang w:eastAsia="zh-CN"/>
              </w:rPr>
              <w:t>。</w:t>
            </w:r>
          </w:p>
        </w:tc>
      </w:tr>
      <w:tr>
        <w:tblPrEx>
          <w:tblCellMar>
            <w:top w:w="0" w:type="dxa"/>
            <w:left w:w="108" w:type="dxa"/>
            <w:bottom w:w="0" w:type="dxa"/>
            <w:right w:w="108" w:type="dxa"/>
          </w:tblCellMar>
        </w:tblPrEx>
        <w:trPr>
          <w:gridAfter w:val="1"/>
          <w:wAfter w:w="0" w:type="dxa"/>
          <w:trHeight w:val="90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创新或特色服务</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hint="eastAsia" w:ascii="宋体" w:hAnsi="宋体" w:eastAsia="宋体" w:cs="宋体"/>
                <w:color w:val="000000"/>
                <w:kern w:val="0"/>
                <w:sz w:val="20"/>
                <w:lang w:eastAsia="zh-CN"/>
              </w:rPr>
            </w:pPr>
          </w:p>
        </w:tc>
        <w:tc>
          <w:tcPr>
            <w:tcW w:w="3045" w:type="dxa"/>
            <w:tcBorders>
              <w:top w:val="nil"/>
              <w:left w:val="nil"/>
              <w:bottom w:val="single" w:color="auto" w:sz="4" w:space="0"/>
              <w:right w:val="single" w:color="auto" w:sz="4" w:space="0"/>
            </w:tcBorders>
            <w:noWrap w:val="0"/>
            <w:vAlign w:val="bottom"/>
          </w:tcPr>
          <w:p>
            <w:pPr>
              <w:widowControl/>
              <w:spacing w:line="340" w:lineRule="exact"/>
              <w:jc w:val="left"/>
              <w:rPr>
                <w:rFonts w:ascii="宋体" w:hAnsi="宋体" w:cs="宋体"/>
                <w:color w:val="000000"/>
                <w:kern w:val="0"/>
                <w:sz w:val="22"/>
              </w:rPr>
            </w:pPr>
            <w:r>
              <w:rPr>
                <w:rFonts w:hint="eastAsia" w:ascii="宋体" w:hAnsi="宋体" w:cs="宋体"/>
                <w:color w:val="000000"/>
                <w:kern w:val="0"/>
                <w:sz w:val="20"/>
              </w:rPr>
              <w:t>能制定符合单位具体业务需要的创新或特色服务的</w:t>
            </w:r>
            <w:r>
              <w:rPr>
                <w:rFonts w:hint="eastAsia" w:ascii="宋体" w:hAnsi="宋体" w:cs="宋体"/>
                <w:color w:val="000000"/>
                <w:kern w:val="0"/>
                <w:sz w:val="20"/>
                <w:lang w:eastAsia="zh-CN"/>
              </w:rPr>
              <w:t>。</w:t>
            </w:r>
          </w:p>
        </w:tc>
      </w:tr>
      <w:tr>
        <w:tblPrEx>
          <w:tblCellMar>
            <w:top w:w="0" w:type="dxa"/>
            <w:left w:w="108" w:type="dxa"/>
            <w:bottom w:w="0" w:type="dxa"/>
            <w:right w:w="108" w:type="dxa"/>
          </w:tblCellMar>
        </w:tblPrEx>
        <w:trPr>
          <w:gridAfter w:val="1"/>
          <w:wAfter w:w="0" w:type="dxa"/>
          <w:trHeight w:val="1170"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三、利率水平</w:t>
            </w:r>
            <w:r>
              <w:rPr>
                <w:rFonts w:hint="eastAsia" w:ascii="宋体" w:hAnsi="宋体" w:cs="宋体"/>
                <w:color w:val="000000"/>
                <w:kern w:val="0"/>
                <w:sz w:val="20"/>
                <w:lang w:eastAsia="zh-CN"/>
              </w:rPr>
              <w:t>指标</w:t>
            </w: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存款利率</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hint="default" w:ascii="宋体" w:hAnsi="宋体" w:eastAsia="宋体" w:cs="宋体"/>
                <w:color w:val="000000"/>
                <w:kern w:val="0"/>
                <w:sz w:val="20"/>
                <w:lang w:val="en-US" w:eastAsia="zh-CN"/>
              </w:rPr>
            </w:pPr>
          </w:p>
        </w:tc>
        <w:tc>
          <w:tcPr>
            <w:tcW w:w="3045" w:type="dxa"/>
            <w:tcBorders>
              <w:top w:val="nil"/>
              <w:left w:val="nil"/>
              <w:bottom w:val="single" w:color="auto" w:sz="4" w:space="0"/>
              <w:right w:val="single" w:color="auto" w:sz="4" w:space="0"/>
            </w:tcBorders>
            <w:noWrap w:val="0"/>
            <w:vAlign w:val="bottom"/>
          </w:tcPr>
          <w:p>
            <w:pPr>
              <w:widowControl/>
              <w:spacing w:line="340" w:lineRule="exact"/>
              <w:jc w:val="left"/>
              <w:rPr>
                <w:rFonts w:ascii="宋体" w:hAnsi="宋体" w:cs="宋体"/>
                <w:color w:val="000000"/>
                <w:kern w:val="0"/>
                <w:sz w:val="22"/>
              </w:rPr>
            </w:pPr>
            <w:r>
              <w:rPr>
                <w:rFonts w:hint="eastAsia" w:ascii="宋体" w:hAnsi="宋体" w:cs="宋体"/>
                <w:color w:val="000000"/>
                <w:kern w:val="0"/>
                <w:sz w:val="20"/>
              </w:rPr>
              <w:t>遵守国家利率政策规定及广西市场利率定价自律机制的协商议定范围，结合成本和风险等因素合理确定存款利率水平</w:t>
            </w:r>
            <w:r>
              <w:rPr>
                <w:rFonts w:hint="eastAsia" w:ascii="宋体" w:hAnsi="宋体" w:cs="宋体"/>
                <w:color w:val="000000"/>
                <w:kern w:val="0"/>
                <w:sz w:val="20"/>
                <w:lang w:eastAsia="zh-CN"/>
              </w:rPr>
              <w:t>。</w:t>
            </w:r>
          </w:p>
        </w:tc>
      </w:tr>
      <w:tr>
        <w:tblPrEx>
          <w:tblCellMar>
            <w:top w:w="0" w:type="dxa"/>
            <w:left w:w="108" w:type="dxa"/>
            <w:bottom w:w="0" w:type="dxa"/>
            <w:right w:w="108" w:type="dxa"/>
          </w:tblCellMar>
        </w:tblPrEx>
        <w:trPr>
          <w:gridAfter w:val="1"/>
          <w:wAfter w:w="0" w:type="dxa"/>
          <w:trHeight w:val="1290" w:hRule="atLeast"/>
        </w:trPr>
        <w:tc>
          <w:tcPr>
            <w:tcW w:w="1080" w:type="dxa"/>
            <w:vMerge w:val="restart"/>
            <w:tcBorders>
              <w:top w:val="nil"/>
              <w:left w:val="single" w:color="auto" w:sz="4" w:space="0"/>
              <w:right w:val="single" w:color="auto" w:sz="4" w:space="0"/>
            </w:tcBorders>
            <w:noWrap w:val="0"/>
            <w:vAlign w:val="center"/>
          </w:tcPr>
          <w:p>
            <w:pPr>
              <w:spacing w:line="240" w:lineRule="exact"/>
              <w:jc w:val="center"/>
              <w:rPr>
                <w:rFonts w:ascii="宋体" w:hAnsi="宋体" w:cs="宋体"/>
                <w:color w:val="000000"/>
                <w:kern w:val="0"/>
                <w:sz w:val="20"/>
              </w:rPr>
            </w:pPr>
            <w:r>
              <w:rPr>
                <w:rFonts w:hint="eastAsia" w:ascii="宋体" w:hAnsi="宋体" w:cs="宋体"/>
                <w:color w:val="000000"/>
                <w:kern w:val="0"/>
                <w:sz w:val="20"/>
              </w:rPr>
              <w:t>四、经济发展贡献度</w:t>
            </w:r>
          </w:p>
        </w:tc>
        <w:tc>
          <w:tcPr>
            <w:tcW w:w="1448" w:type="dxa"/>
            <w:tcBorders>
              <w:top w:val="nil"/>
              <w:left w:val="nil"/>
              <w:bottom w:val="single" w:color="auto" w:sz="4" w:space="0"/>
              <w:right w:val="single" w:color="auto" w:sz="4" w:space="0"/>
            </w:tcBorders>
            <w:noWrap w:val="0"/>
            <w:vAlign w:val="center"/>
          </w:tcPr>
          <w:p>
            <w:pPr>
              <w:widowControl/>
              <w:spacing w:line="340" w:lineRule="exact"/>
              <w:jc w:val="left"/>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支持地方财政收入以及纳税情况</w:t>
            </w:r>
          </w:p>
        </w:tc>
        <w:tc>
          <w:tcPr>
            <w:tcW w:w="3375" w:type="dxa"/>
            <w:tcBorders>
              <w:top w:val="nil"/>
              <w:left w:val="nil"/>
              <w:bottom w:val="single" w:color="auto" w:sz="4" w:space="0"/>
              <w:right w:val="single" w:color="auto" w:sz="4" w:space="0"/>
            </w:tcBorders>
            <w:noWrap w:val="0"/>
            <w:vAlign w:val="center"/>
          </w:tcPr>
          <w:p>
            <w:pPr>
              <w:widowControl/>
              <w:spacing w:line="340" w:lineRule="exact"/>
              <w:jc w:val="left"/>
              <w:rPr>
                <w:rFonts w:hint="default" w:ascii="宋体" w:hAnsi="宋体" w:eastAsia="宋体" w:cs="宋体"/>
                <w:color w:val="000000"/>
                <w:kern w:val="0"/>
                <w:sz w:val="20"/>
                <w:lang w:val="en-US" w:eastAsia="zh-CN"/>
              </w:rPr>
            </w:pPr>
          </w:p>
        </w:tc>
        <w:tc>
          <w:tcPr>
            <w:tcW w:w="3045" w:type="dxa"/>
            <w:tcBorders>
              <w:top w:val="nil"/>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r>
      <w:tr>
        <w:tblPrEx>
          <w:tblCellMar>
            <w:top w:w="0" w:type="dxa"/>
            <w:left w:w="108" w:type="dxa"/>
            <w:bottom w:w="0" w:type="dxa"/>
            <w:right w:w="108" w:type="dxa"/>
          </w:tblCellMar>
        </w:tblPrEx>
        <w:trPr>
          <w:gridAfter w:val="1"/>
          <w:wAfter w:w="0" w:type="dxa"/>
          <w:trHeight w:val="144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color w:val="000000"/>
                <w:kern w:val="0"/>
                <w:sz w:val="20"/>
              </w:rPr>
            </w:pPr>
          </w:p>
        </w:tc>
        <w:tc>
          <w:tcPr>
            <w:tcW w:w="1448"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支持地方经济发展重点工作</w:t>
            </w:r>
          </w:p>
        </w:tc>
        <w:tc>
          <w:tcPr>
            <w:tcW w:w="3375"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p>
        </w:tc>
        <w:tc>
          <w:tcPr>
            <w:tcW w:w="3045"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宋体" w:hAnsi="宋体" w:cs="宋体"/>
                <w:color w:val="000000"/>
                <w:kern w:val="0"/>
                <w:sz w:val="20"/>
              </w:rPr>
            </w:pPr>
            <w:r>
              <w:rPr>
                <w:rFonts w:hint="eastAsia" w:ascii="宋体" w:hAnsi="宋体" w:cs="宋体"/>
                <w:color w:val="000000"/>
                <w:kern w:val="0"/>
                <w:sz w:val="20"/>
              </w:rPr>
              <w:t>支持地方经济发展重点工作</w:t>
            </w:r>
            <w:r>
              <w:rPr>
                <w:rFonts w:hint="eastAsia" w:ascii="宋体" w:hAnsi="宋体" w:cs="宋体"/>
                <w:color w:val="000000"/>
                <w:kern w:val="0"/>
                <w:sz w:val="20"/>
                <w:lang w:eastAsia="zh-CN"/>
              </w:rPr>
              <w:t>：</w:t>
            </w:r>
            <w:r>
              <w:rPr>
                <w:rFonts w:hint="eastAsia" w:ascii="宋体" w:hAnsi="宋体" w:cs="宋体"/>
                <w:color w:val="000000"/>
                <w:kern w:val="0"/>
                <w:sz w:val="20"/>
              </w:rPr>
              <w:t>本次操作前一次债券发行中</w:t>
            </w:r>
            <w:r>
              <w:rPr>
                <w:rFonts w:hint="eastAsia" w:ascii="宋体" w:hAnsi="宋体" w:cs="宋体"/>
                <w:color w:val="000000"/>
                <w:kern w:val="0"/>
                <w:sz w:val="20"/>
                <w:lang w:eastAsia="zh-CN"/>
              </w:rPr>
              <w:t>承销</w:t>
            </w:r>
            <w:r>
              <w:rPr>
                <w:rFonts w:hint="eastAsia" w:ascii="宋体" w:hAnsi="宋体" w:cs="宋体"/>
                <w:color w:val="000000"/>
                <w:kern w:val="0"/>
                <w:sz w:val="20"/>
              </w:rPr>
              <w:t>地方债</w:t>
            </w:r>
            <w:r>
              <w:rPr>
                <w:rFonts w:hint="eastAsia" w:ascii="宋体" w:hAnsi="宋体" w:cs="宋体"/>
                <w:color w:val="000000"/>
                <w:kern w:val="0"/>
                <w:sz w:val="20"/>
                <w:lang w:eastAsia="zh-CN"/>
              </w:rPr>
              <w:t>金额。</w:t>
            </w:r>
          </w:p>
        </w:tc>
      </w:tr>
      <w:tr>
        <w:tblPrEx>
          <w:tblCellMar>
            <w:top w:w="0" w:type="dxa"/>
            <w:left w:w="108" w:type="dxa"/>
            <w:bottom w:w="0" w:type="dxa"/>
            <w:right w:w="108" w:type="dxa"/>
          </w:tblCellMar>
        </w:tblPrEx>
        <w:trPr>
          <w:trHeight w:val="792" w:hRule="atLeast"/>
        </w:trPr>
        <w:tc>
          <w:tcPr>
            <w:tcW w:w="9420" w:type="dxa"/>
            <w:gridSpan w:val="5"/>
            <w:tcBorders>
              <w:top w:val="nil"/>
              <w:left w:val="nil"/>
              <w:bottom w:val="nil"/>
              <w:right w:val="nil"/>
            </w:tcBorders>
            <w:noWrap w:val="0"/>
            <w:vAlign w:val="center"/>
          </w:tcPr>
          <w:p>
            <w:pPr>
              <w:widowControl/>
              <w:spacing w:line="240" w:lineRule="exact"/>
              <w:jc w:val="left"/>
              <w:rPr>
                <w:rFonts w:ascii="宋体" w:hAnsi="宋体" w:cs="宋体"/>
                <w:color w:val="000000"/>
                <w:kern w:val="0"/>
                <w:sz w:val="20"/>
              </w:rPr>
            </w:pPr>
          </w:p>
        </w:tc>
      </w:tr>
    </w:tbl>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ind w:firstLine="280" w:firstLineChars="100"/>
        <w:rPr>
          <w:rFonts w:hint="eastAsia" w:ascii="仿宋_GB2312" w:eastAsia="仿宋_GB2312"/>
          <w:sz w:val="28"/>
          <w:szCs w:val="28"/>
        </w:rPr>
      </w:pPr>
    </w:p>
    <w:p>
      <w:bookmarkStart w:id="0" w:name="_GoBack"/>
      <w:bookmarkEnd w:id="0"/>
    </w:p>
    <w:sectPr>
      <w:footerReference r:id="rId3" w:type="even"/>
      <w:pgSz w:w="11906" w:h="16838"/>
      <w:pgMar w:top="1701" w:right="1361" w:bottom="1361" w:left="1588" w:header="851" w:footer="992" w:gutter="0"/>
      <w:cols w:space="720" w:num="1"/>
      <w:docGrid w:type="line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1B262680"/>
    <w:rsid w:val="1B26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2023-02-20T07:39:00Z</dcterms:created>
  <dc:creator>彩色沙漠</dc:creator>
  <cp:lastModifiedBy>彩色沙漠</cp:lastModifiedBy>
  <dcterms:modified xsi:type="dcterms:W3CDTF">2023-02-20T07:40:01Z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C3D07B10572041A893F90938F1C1501C</vt:lpwstr>
  </property>
</Properties>
</file>