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</w:rPr>
        <w:t>年“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eastAsia="zh-CN"/>
        </w:rPr>
        <w:t>广西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</w:rPr>
        <w:t>三月三·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eastAsia="zh-CN"/>
        </w:rPr>
        <w:t>和谐在八桂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eastAsia="zh-CN"/>
        </w:rPr>
        <w:t>系列活动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宣传项目采购文件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before="0" w:after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2026年“广西三月三·和谐在八桂”系列活动宣传项目采购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有关情况和要求如下。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一、采购项目基本情况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2026年“广西三月三·和谐在八桂”系列活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动宣传项目。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2.采购标的类型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：活动宣传服务。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3.预算金额20万元（人民币）。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二、采购内容及要求</w:t>
      </w:r>
    </w:p>
    <w:tbl>
      <w:tblPr>
        <w:tblStyle w:val="7"/>
        <w:tblW w:w="9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132"/>
        <w:gridCol w:w="5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服务名称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aps w:val="0"/>
                <w:color w:val="0F1115"/>
                <w:spacing w:val="0"/>
                <w:kern w:val="0"/>
                <w:sz w:val="32"/>
                <w:szCs w:val="32"/>
                <w:lang w:val="en-US" w:eastAsia="zh-CN" w:bidi="ar"/>
              </w:rPr>
              <w:t>服务内容及要求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桂台各民族欢度“三月三”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在自治区主流媒体或者中央媒体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刊发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消息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稿件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1篇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；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发布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联欢现场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视频稿件1篇。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民族团结进步宣传月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深入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基层一线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采风，推出“村寨日记”图文系列报道；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主流媒体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刊登记者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网络行相关稿件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不少于3篇。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中华民族共有精神家园建设主题文化活动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图文、视频报道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边境主题活动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1篇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视频二次剪辑在相关视频发布平台推送1篇。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“桂在邻里”民族团结社区行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活动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在全区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选取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十个左右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典型社区，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三月三期间联动线上直播。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“锦绣中华”壮锦创新创业大赛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图文、视频报道大赛启动仪式暨壮锦产业发展主题研讨会1篇。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视听中国“石榴花开向未来”短视频大赛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展播优秀作品；联动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微博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或者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视频号发起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话题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“三月歌会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心手相连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边境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民族团结歌圩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活动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选取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1-2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典型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活动点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三月三期间联动直播；发布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山歌比赛精彩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视频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片段；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在主流媒体发报道。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“广西三月三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z w:val="32"/>
                <w:szCs w:val="3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sz w:val="32"/>
                <w:szCs w:val="3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崇左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江州优品耀京华”边疆特产销全国系列活动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推送现场视频稿件1篇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，采访北京观众；联动中央媒体扩大影响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“岜莱诗会”双年活动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在自治区主流媒体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刊登获奖诗歌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相关稿件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不少于2篇。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北京“广西三月三·助力桂经济”系列活动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在自治区主流媒体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报道经贸洽谈会、AI科技+广西产业洽谈；推出“桂品进京”，美食体验区盛况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相关稿件1篇。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“广西三月三・湾区嘉年华”系列活动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在自治区主流媒体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eastAsia="zh-CN"/>
              </w:rPr>
              <w:t>报道活动盛况，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</w:rPr>
              <w:t>推出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相关稿件2篇。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网上专题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F1115"/>
                <w:spacing w:val="0"/>
                <w:sz w:val="32"/>
                <w:szCs w:val="32"/>
                <w:shd w:val="clear" w:fill="FFFFFF"/>
                <w:lang w:val="en-US"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主流媒体开设“广西三月三·和谐在八桂”网络专题1个。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短视频拍摄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在全区范围内拍摄剪辑不少于3个民族团结进步先进事迹短视频，并在主流媒体平台进行推广。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 w:themeColor="text1"/>
                <w:kern w:val="0"/>
                <w:sz w:val="32"/>
                <w:szCs w:val="3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AI赋能</w:t>
            </w:r>
          </w:p>
        </w:tc>
        <w:tc>
          <w:tcPr>
            <w:tcW w:w="53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利用数字人等人工智能技术播报推广相关活动内容不少于10篇。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6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商务条款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6" w:type="dxa"/>
            <w:gridSpan w:val="3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一、规范标准：采购需执行国家标准、行业标准、地方标准或 者其他标准、规范。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二、服务时间及地点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1.服务时间：2026年4月至5月期间(具体以采购人指定时间 为准)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2.服务地点：广西(采购人指定地点)。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三、付款条件：在签订合同之日起10个工作日内采购人向成交人支付合同总金额的50%作为预付款；其余款项在项目完成、提供总结报告及相关材料并经采购人验收合格后的10个工作日内一次性结清。成交人未在规定时间内完成任务，或经检查发现服务质量不符合要求的，视为违约，采购人可解除合同，无需支付剩余款项，同时成交人还须退还采购人已支付的50%的预付款，并承担其他相应违约责任；对于其他情形，按照合同约定扣减相应费用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四、未经采购人允许，成交人不得向任何第三方提供本项目的相关信息或数据。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五、成交人不得将项目非法分包或转包给任何单位和个人，否 则采购人有权即刻终止合同，并要求成交人赔偿相应损失。如需分 包项目须提前告知采购人且经采购人同意后方可进行。本项目不接 受联合体投标。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六、采购人与创作者共同享有本项目作品版权、使用权、延伸 使用及改编创作的权利。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七、处理问题响应时间：接到采购人处理问题通知后能在8小时内响应处理。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八、竞标总报价以人民币报价，因供应商自身原因造成漏报、 少报皆由供应商自行承担责任，采购人不再补偿。除政策性文件规 定以外，供应商所报价格在合同实施期间不因市场变化因素而变动。报价必须包括但不限于以下内容：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1.服务项目的价格；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2.项目的组织协调费用，包括图文、媒体运营、宣传推广、劳务、杂项等费用；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3.必要的保险费用和各项税金；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4.其他(如技术支持、售后服务、验收等)费用。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right="0" w:firstLine="64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九、验收要求及标准：根据采购需求的要求进行验收；如有必 要由采购方和成交人双方负责共同聘请第三方出具验收意见，验收费用由成交方负责。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三、评标方法及标准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本次采购采取综合评分法。对有资质的，符合本项目要求的投标公司进行评标。评标结果按评审得分从高到低排列。得分相同的，按投标报价从低到高顺序排序，得分相同且投标报价相同的，按策划实施方案分得分高低顺序排序，具体评分标准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（一）对进入详评的，采用百分制综合评分法。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（二）计分办法：按四舍五入取至百分位。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2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1.价格分：20分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以进入评审的最低的评标价为20分。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60" w:firstLineChars="14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响应</w:t>
      </w:r>
      <w:r>
        <w:rPr>
          <w:rFonts w:hint="eastAsia" w:ascii="仿宋_GB2312" w:hAnsi="仿宋_GB2312" w:eastAsia="仿宋_GB2312" w:cs="仿宋_GB2312"/>
          <w:sz w:val="24"/>
          <w:szCs w:val="24"/>
        </w:rPr>
        <w:t>供应商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最终报价最低评标价金额（元）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2085975</wp:posOffset>
                </wp:positionH>
                <wp:positionV relativeFrom="paragraph">
                  <wp:posOffset>155575</wp:posOffset>
                </wp:positionV>
                <wp:extent cx="2876550" cy="9525"/>
                <wp:effectExtent l="0" t="0" r="0" b="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8910" y="4116070"/>
                          <a:ext cx="2876550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4.25pt;margin-top:12.25pt;height:0.75pt;width:226.5pt;mso-wrap-distance-bottom:0pt;mso-wrap-distance-left:9pt;mso-wrap-distance-right:9pt;mso-wrap-distance-top:0pt;z-index:251659264;mso-width-relative:page;mso-height-relative:page;" filled="f" stroked="t" coordsize="21600,21600" o:gfxdata="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Jb0&#10;DeXYAAAACQEAAA8AAAAAAAAAAQAgAAAAOAAAAGRycy9kb3ducmV2LnhtbFBLAQIUABQAAAAIAIdO&#10;4kAmIti51AEAAHIDAAAOAAAAAAAAAAEAIAAAAD0BAABkcnMvZTJvRG9jLnhtbFBLBQYAAAAABgAG&#10;AFkBAACDBQAAAAA=&#10;">
                <v:fill on="f" focussize="0,0"/>
                <v:stroke color="#000000 [3213]" miterlimit="8" joinstyle="miter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某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响应</w:t>
      </w:r>
      <w:r>
        <w:rPr>
          <w:rFonts w:hint="eastAsia" w:ascii="仿宋_GB2312" w:hAnsi="仿宋_GB2312" w:eastAsia="仿宋_GB2312" w:cs="仿宋_GB2312"/>
          <w:sz w:val="24"/>
          <w:szCs w:val="24"/>
        </w:rPr>
        <w:t>供应商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价格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分 =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×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360" w:firstLineChars="14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某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响应</w:t>
      </w:r>
      <w:r>
        <w:rPr>
          <w:rFonts w:hint="eastAsia" w:ascii="仿宋_GB2312" w:hAnsi="仿宋_GB2312" w:eastAsia="仿宋_GB2312" w:cs="仿宋_GB2312"/>
          <w:sz w:val="24"/>
          <w:szCs w:val="24"/>
        </w:rPr>
        <w:t>供应商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eastAsia="zh-CN"/>
        </w:rPr>
        <w:t>最终报价评标价金额（元）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2.策划实施方案分：60分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）项目实施方案（满分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30分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一档（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0-8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分）：供应商的实施方案简单，方案不完整，不合理。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二档（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9-16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分）：供应商实施方案基本完整、基本可行，有基本的实施保障措施，思路基本清晰。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三档（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17-23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分）：供应商实施方案较完整、较可行，有较合理的实施保障措施，思路较清晰。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四档（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24-30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分）：供应商实施方案完整、切实可行、全面、科学，有合理、详细的实施保障措施，有较强的针对性，思路清晰、把握问题准确。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组织实施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方案和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活动创新分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（满分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一档（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0-8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分）：未提供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组织实施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方案或者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活动创新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方案、制定内容错乱，方案、措施与项目内容无关。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二档（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9-16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分）：提供基本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组织实施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方案或者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活动创新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方案，基本能满足采购人需求。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三档（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17-23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分）：提出有建设性的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组织实施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方案或者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活动创新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四档（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24-30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分）：提出具体的、有创意、有针对性的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组织实施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方案或者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活动创新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方案。质保期在要求的质保时间上增加不少于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1个月或以上质保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80" w:lineRule="exact"/>
        <w:ind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  <w:t>.信誉业绩分：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zh-CN" w:eastAsia="zh-CN" w:bidi="ar-SA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（1）竞标供应商2022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月以来有类似项目业绩的每项得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分，满分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分。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须提供合同复印件或成交通知书复印件，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联合体投标的任何一方提供均可得分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（三）总得分 = 1+2+3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四、成交候选人推荐原则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(一)根据得分由高到低排列次序(得分相同时，按投标报价由低到高顺序排列；得分相同且投标报价相同的，按策划实施方案得分高低顺序排序)并推荐成交候选供应商。得分排名第一的成交候选人为成交人。排名第一的成交候选人放弃成交或因不 可抗力提出不能履行合同，采购人可以确定排名第二的成交候选 人为成交人。排名第二的成交候选人因前款规定的同样原因不能 签订合同的，采购单位可以确定排名第三的成交候选人为成交 人。采购人也可以决定重新采购。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(二)采购小组认为供应商的报价明显低于其他供应商报价，有可能影响服务质量或者不能诚信履约的，应当要求其在评审现场合理的时间内提供书面说明，必要时提供相关证明材料；供应商不能证明其报价合理性的，采购小组将其作为无效竞标处理。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五、验收成果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需提供项目实施阶段性进展情况报告以及项目实施完成后 的验收总结报告(报告须包含文字材料、图片、视频等),报告需提供电子版本一份，打印纸质版本(加盖公章)两份备案。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六、项目预算及付款方式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(一)项目预算：20万元。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(二)审核流程：采购人将根据提交的投标文件组织采购小 组进行评标，按评标方法及标准选定成交公司作为本次项目的承 办单位。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(三)付款方式：在签订合同之日起10个工作日内采购人向成交人支付合同总金额的50%作为预付款；其余款项在项目完成，提供总结报告及相关材料并经采购人验收合格后的10个工作日内一次性结清。成交人须按要求开具发票，采购人予以转账拨付，具体付款方式以合同约定为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2"/>
          <w:sz w:val="32"/>
          <w:szCs w:val="32"/>
          <w:lang w:val="en-US" w:eastAsia="zh-CN" w:bidi="ar-SA"/>
        </w:rPr>
        <w:t>七、材料提交时间及地点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有意向的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日18:00前提交书面投标材料，材料以文件袋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材料装订成册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一式5份，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加盖单位公章，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封面</w:t>
      </w:r>
      <w:r>
        <w:rPr>
          <w:rFonts w:hint="eastAsia" w:ascii="仿宋_GB2312" w:hAnsi="仿宋_GB2312" w:eastAsia="仿宋_GB2312" w:cs="仿宋_GB2312"/>
          <w:sz w:val="32"/>
          <w:szCs w:val="32"/>
        </w:rPr>
        <w:t>注明项目名称、联系人和联系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密封，交到广西南宁市青秀区星湖路北一里1号自治区民宗委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510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联系电话：0771-5852535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7A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E3C35"/>
    <w:rsid w:val="0FE78E06"/>
    <w:rsid w:val="1DAE3C35"/>
    <w:rsid w:val="1F7BAC48"/>
    <w:rsid w:val="1FE933CD"/>
    <w:rsid w:val="2EDF1ED6"/>
    <w:rsid w:val="2FEF7B10"/>
    <w:rsid w:val="337F69B6"/>
    <w:rsid w:val="33BB67BB"/>
    <w:rsid w:val="38FA20A3"/>
    <w:rsid w:val="3BFF40BA"/>
    <w:rsid w:val="3EF24E19"/>
    <w:rsid w:val="3EF7C9A1"/>
    <w:rsid w:val="3FC72527"/>
    <w:rsid w:val="3FFF91F1"/>
    <w:rsid w:val="473E10C6"/>
    <w:rsid w:val="4AFFAD09"/>
    <w:rsid w:val="4EE7986B"/>
    <w:rsid w:val="5B7E8FA0"/>
    <w:rsid w:val="5EE46EAA"/>
    <w:rsid w:val="655F711B"/>
    <w:rsid w:val="67FA2DE2"/>
    <w:rsid w:val="6F3F6A28"/>
    <w:rsid w:val="755B8508"/>
    <w:rsid w:val="77BE0F51"/>
    <w:rsid w:val="77D2705E"/>
    <w:rsid w:val="77FDCD4A"/>
    <w:rsid w:val="7E6E8EA7"/>
    <w:rsid w:val="7EDF5E88"/>
    <w:rsid w:val="7F7D58EC"/>
    <w:rsid w:val="7FCC6CAA"/>
    <w:rsid w:val="7FFF6F42"/>
    <w:rsid w:val="7FFF9591"/>
    <w:rsid w:val="9D4B5CFF"/>
    <w:rsid w:val="9EF38EFA"/>
    <w:rsid w:val="A9E7A440"/>
    <w:rsid w:val="BA7B23C6"/>
    <w:rsid w:val="BD7B8889"/>
    <w:rsid w:val="BEBFB3A7"/>
    <w:rsid w:val="BF6E78D0"/>
    <w:rsid w:val="BF7F37B7"/>
    <w:rsid w:val="DDAFFB63"/>
    <w:rsid w:val="DFBF9F68"/>
    <w:rsid w:val="DFCAC51D"/>
    <w:rsid w:val="EFB304B9"/>
    <w:rsid w:val="F4BD6420"/>
    <w:rsid w:val="F77B54ED"/>
    <w:rsid w:val="F79FBE01"/>
    <w:rsid w:val="F7B303FE"/>
    <w:rsid w:val="FBAB4182"/>
    <w:rsid w:val="FBFD0DA4"/>
    <w:rsid w:val="FD1AD10A"/>
    <w:rsid w:val="FDBB9F53"/>
    <w:rsid w:val="FE734873"/>
    <w:rsid w:val="FEFF2B12"/>
    <w:rsid w:val="FFBF2BA8"/>
    <w:rsid w:val="FFDF1297"/>
    <w:rsid w:val="FFDF1FFF"/>
    <w:rsid w:val="FFDF2BF7"/>
    <w:rsid w:val="FFD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UserStyle_3 Char"/>
    <w:basedOn w:val="8"/>
    <w:qFormat/>
    <w:uiPriority w:val="0"/>
    <w:rPr>
      <w:rFonts w:ascii="Arial" w:hAnsi="Arial" w:eastAsia="宋体" w:cs="Arial"/>
      <w:b/>
      <w:kern w:val="0"/>
      <w:sz w:val="24"/>
      <w:szCs w:val="24"/>
      <w:lang w:val="en-US" w:bidi="ar-SA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53"/>
      <w:szCs w:val="53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2026-03-29T02:28:00Z</dcterms:created>
  <dc:creator>蒋尧</dc:creator>
  <cp:lastModifiedBy>gxxc</cp:lastModifiedBy>
  <cp:lastPrinted>2026-03-28T02:21:00Z</cp:lastPrinted>
  <dcterms:modified xsi:type="dcterms:W3CDTF">2026-03-27T09:22:12Z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C18198ABF5645EFEB1A0C469D0A96D5F_43</vt:lpwstr>
  </property>
</Properties>
</file>